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84" w:rsidRPr="003473EF" w:rsidRDefault="001B7184" w:rsidP="001B7184">
      <w:pPr>
        <w:spacing w:line="276" w:lineRule="auto"/>
        <w:ind w:left="6237"/>
        <w:rPr>
          <w:rFonts w:eastAsia="Calibri"/>
          <w:sz w:val="26"/>
          <w:szCs w:val="26"/>
          <w:lang w:eastAsia="en-US"/>
        </w:rPr>
      </w:pPr>
      <w:r w:rsidRPr="003473EF">
        <w:rPr>
          <w:rFonts w:eastAsia="Calibri"/>
          <w:sz w:val="26"/>
          <w:szCs w:val="26"/>
          <w:lang w:eastAsia="en-US"/>
        </w:rPr>
        <w:t>ЗАТВЕРДЖЕНО</w:t>
      </w:r>
    </w:p>
    <w:p w:rsidR="001B7184" w:rsidRPr="003473EF" w:rsidRDefault="001B7184" w:rsidP="001B7184">
      <w:pPr>
        <w:spacing w:line="276" w:lineRule="auto"/>
        <w:ind w:left="6237"/>
        <w:rPr>
          <w:sz w:val="26"/>
          <w:szCs w:val="26"/>
        </w:rPr>
      </w:pPr>
      <w:r w:rsidRPr="003473EF">
        <w:rPr>
          <w:rFonts w:eastAsia="Calibri"/>
          <w:sz w:val="26"/>
          <w:szCs w:val="26"/>
          <w:lang w:eastAsia="en-US"/>
        </w:rPr>
        <w:t xml:space="preserve">наказ директора департаменту </w:t>
      </w:r>
      <w:r w:rsidRPr="003473EF">
        <w:rPr>
          <w:sz w:val="26"/>
          <w:szCs w:val="26"/>
        </w:rPr>
        <w:t>агропромислового розвитку облдержадміністрації</w:t>
      </w:r>
    </w:p>
    <w:p w:rsidR="00DF091E" w:rsidRPr="0071364A" w:rsidRDefault="001B7184" w:rsidP="0071364A">
      <w:pPr>
        <w:spacing w:line="276" w:lineRule="auto"/>
        <w:ind w:left="6237"/>
        <w:rPr>
          <w:sz w:val="26"/>
          <w:szCs w:val="26"/>
        </w:rPr>
      </w:pPr>
      <w:r w:rsidRPr="003473EF">
        <w:rPr>
          <w:sz w:val="26"/>
          <w:szCs w:val="26"/>
        </w:rPr>
        <w:t xml:space="preserve">від </w:t>
      </w:r>
      <w:r w:rsidR="0071364A">
        <w:rPr>
          <w:rFonts w:eastAsia="Calibri"/>
          <w:sz w:val="26"/>
          <w:szCs w:val="26"/>
          <w:lang w:eastAsia="en-US"/>
        </w:rPr>
        <w:t>31.05.2023</w:t>
      </w:r>
      <w:r w:rsidR="0071364A">
        <w:rPr>
          <w:rFonts w:eastAsia="Calibri"/>
          <w:sz w:val="26"/>
          <w:szCs w:val="26"/>
          <w:lang w:val="en-US" w:eastAsia="en-US"/>
        </w:rPr>
        <w:t xml:space="preserve"> </w:t>
      </w:r>
      <w:r w:rsidRPr="003473EF">
        <w:rPr>
          <w:sz w:val="26"/>
          <w:szCs w:val="26"/>
        </w:rPr>
        <w:t xml:space="preserve">№ </w:t>
      </w:r>
      <w:r w:rsidR="0071364A">
        <w:rPr>
          <w:sz w:val="26"/>
          <w:szCs w:val="26"/>
          <w:lang w:val="en-US"/>
        </w:rPr>
        <w:t>20-</w:t>
      </w:r>
      <w:r w:rsidR="0071364A">
        <w:rPr>
          <w:sz w:val="26"/>
          <w:szCs w:val="26"/>
        </w:rPr>
        <w:t>к</w:t>
      </w:r>
    </w:p>
    <w:p w:rsidR="0071364A" w:rsidRPr="0071364A" w:rsidRDefault="0071364A" w:rsidP="0071364A">
      <w:pPr>
        <w:spacing w:line="276" w:lineRule="auto"/>
        <w:ind w:left="6237"/>
        <w:rPr>
          <w:sz w:val="27"/>
          <w:szCs w:val="27"/>
        </w:rPr>
      </w:pPr>
    </w:p>
    <w:p w:rsidR="00DF091E" w:rsidRPr="003473EF" w:rsidRDefault="00DF091E" w:rsidP="00DF091E">
      <w:pPr>
        <w:ind w:left="5670"/>
        <w:jc w:val="both"/>
        <w:rPr>
          <w:sz w:val="27"/>
          <w:szCs w:val="27"/>
        </w:rPr>
      </w:pPr>
    </w:p>
    <w:p w:rsidR="007A2927" w:rsidRPr="003473EF" w:rsidRDefault="007A2927" w:rsidP="00DF091E">
      <w:pPr>
        <w:jc w:val="center"/>
        <w:rPr>
          <w:rStyle w:val="rvts15"/>
          <w:sz w:val="27"/>
          <w:szCs w:val="27"/>
        </w:rPr>
      </w:pPr>
      <w:r w:rsidRPr="003473EF">
        <w:rPr>
          <w:rStyle w:val="rvts15"/>
          <w:sz w:val="27"/>
          <w:szCs w:val="27"/>
        </w:rPr>
        <w:t>У</w:t>
      </w:r>
      <w:r w:rsidR="00517B79" w:rsidRPr="003473EF">
        <w:rPr>
          <w:rStyle w:val="rvts15"/>
          <w:sz w:val="27"/>
          <w:szCs w:val="27"/>
        </w:rPr>
        <w:t>мов</w:t>
      </w:r>
      <w:r w:rsidRPr="003473EF">
        <w:rPr>
          <w:rStyle w:val="rvts15"/>
          <w:sz w:val="27"/>
          <w:szCs w:val="27"/>
        </w:rPr>
        <w:t>и</w:t>
      </w:r>
    </w:p>
    <w:p w:rsidR="00D76D70" w:rsidRPr="003473EF" w:rsidRDefault="00D76D70" w:rsidP="00DF091E">
      <w:pPr>
        <w:jc w:val="center"/>
        <w:rPr>
          <w:sz w:val="27"/>
          <w:szCs w:val="27"/>
        </w:rPr>
      </w:pPr>
      <w:r w:rsidRPr="003473EF">
        <w:rPr>
          <w:rStyle w:val="rvts15"/>
          <w:sz w:val="27"/>
          <w:szCs w:val="27"/>
        </w:rPr>
        <w:t xml:space="preserve">проведення </w:t>
      </w:r>
      <w:r w:rsidR="008E7D86" w:rsidRPr="003473EF">
        <w:rPr>
          <w:rStyle w:val="rvts15"/>
          <w:sz w:val="27"/>
          <w:szCs w:val="27"/>
        </w:rPr>
        <w:t>відбору</w:t>
      </w:r>
      <w:r w:rsidRPr="003473EF">
        <w:rPr>
          <w:rStyle w:val="rvts15"/>
          <w:sz w:val="27"/>
          <w:szCs w:val="27"/>
        </w:rPr>
        <w:t xml:space="preserve"> на зайняття посади </w:t>
      </w:r>
      <w:r w:rsidRPr="003473EF">
        <w:rPr>
          <w:bCs/>
          <w:color w:val="000000"/>
          <w:sz w:val="27"/>
          <w:szCs w:val="27"/>
          <w:bdr w:val="none" w:sz="0" w:space="0" w:color="auto" w:frame="1"/>
          <w:lang w:eastAsia="ru-RU"/>
        </w:rPr>
        <w:t>державної служби категорії «</w:t>
      </w:r>
      <w:r w:rsidR="00A16802" w:rsidRPr="003473EF">
        <w:rPr>
          <w:bCs/>
          <w:color w:val="000000"/>
          <w:sz w:val="27"/>
          <w:szCs w:val="27"/>
          <w:bdr w:val="none" w:sz="0" w:space="0" w:color="auto" w:frame="1"/>
          <w:lang w:eastAsia="ru-RU"/>
        </w:rPr>
        <w:t>Б</w:t>
      </w:r>
      <w:r w:rsidR="00DF091E" w:rsidRPr="003473EF">
        <w:rPr>
          <w:bCs/>
          <w:color w:val="000000"/>
          <w:sz w:val="27"/>
          <w:szCs w:val="27"/>
          <w:bdr w:val="none" w:sz="0" w:space="0" w:color="auto" w:frame="1"/>
          <w:lang w:eastAsia="ru-RU"/>
        </w:rPr>
        <w:t xml:space="preserve">» - заступника директора департаменту начальника управління соціально-економічного розвитку та фінансового забезпечення </w:t>
      </w:r>
      <w:r w:rsidR="00A23E41" w:rsidRPr="003473EF">
        <w:rPr>
          <w:sz w:val="27"/>
          <w:szCs w:val="27"/>
        </w:rPr>
        <w:t xml:space="preserve">департаменту </w:t>
      </w:r>
      <w:r w:rsidR="00DF091E" w:rsidRPr="003473EF">
        <w:rPr>
          <w:sz w:val="27"/>
          <w:szCs w:val="27"/>
        </w:rPr>
        <w:t>агропромислового розвитку Рівненської обласної державної адміністрації</w:t>
      </w:r>
    </w:p>
    <w:p w:rsidR="00DF091E" w:rsidRPr="003473EF" w:rsidRDefault="00DF091E" w:rsidP="00DF091E">
      <w:pPr>
        <w:jc w:val="center"/>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50"/>
        <w:gridCol w:w="2779"/>
        <w:gridCol w:w="6625"/>
      </w:tblGrid>
      <w:tr w:rsidR="00D76D70" w:rsidRPr="003473EF">
        <w:tc>
          <w:tcPr>
            <w:tcW w:w="9854" w:type="dxa"/>
            <w:gridSpan w:val="3"/>
            <w:tcMar>
              <w:left w:w="108" w:type="dxa"/>
              <w:right w:w="108" w:type="dxa"/>
            </w:tcMar>
            <w:vAlign w:val="center"/>
          </w:tcPr>
          <w:p w:rsidR="00D76D70" w:rsidRPr="003473EF" w:rsidRDefault="00D76D70" w:rsidP="00D76D70">
            <w:pPr>
              <w:pStyle w:val="rvps12"/>
              <w:jc w:val="center"/>
              <w:rPr>
                <w:sz w:val="27"/>
                <w:szCs w:val="27"/>
              </w:rPr>
            </w:pPr>
            <w:bookmarkStart w:id="0" w:name="n196"/>
            <w:bookmarkEnd w:id="0"/>
            <w:r w:rsidRPr="003473EF">
              <w:rPr>
                <w:sz w:val="27"/>
                <w:szCs w:val="27"/>
              </w:rPr>
              <w:t>Загальні умови</w:t>
            </w:r>
          </w:p>
        </w:tc>
      </w:tr>
      <w:tr w:rsidR="00D76D70" w:rsidRPr="003473EF">
        <w:tc>
          <w:tcPr>
            <w:tcW w:w="3229" w:type="dxa"/>
            <w:gridSpan w:val="2"/>
            <w:tcMar>
              <w:left w:w="108" w:type="dxa"/>
              <w:right w:w="108" w:type="dxa"/>
            </w:tcMar>
          </w:tcPr>
          <w:p w:rsidR="00D76D70" w:rsidRPr="003473EF" w:rsidRDefault="00D76D70" w:rsidP="00D76D70">
            <w:pPr>
              <w:pStyle w:val="rvps14"/>
              <w:rPr>
                <w:sz w:val="27"/>
                <w:szCs w:val="27"/>
              </w:rPr>
            </w:pPr>
            <w:r w:rsidRPr="003473EF">
              <w:rPr>
                <w:sz w:val="27"/>
                <w:szCs w:val="27"/>
              </w:rPr>
              <w:t>Посадові обов’язки</w:t>
            </w:r>
          </w:p>
        </w:tc>
        <w:tc>
          <w:tcPr>
            <w:tcW w:w="6625" w:type="dxa"/>
            <w:tcMar>
              <w:left w:w="108" w:type="dxa"/>
              <w:right w:w="108" w:type="dxa"/>
            </w:tcMar>
          </w:tcPr>
          <w:p w:rsidR="001B77D4" w:rsidRPr="003473EF" w:rsidRDefault="001B77D4" w:rsidP="001B77D4">
            <w:pPr>
              <w:spacing w:after="120"/>
              <w:jc w:val="both"/>
              <w:rPr>
                <w:sz w:val="27"/>
                <w:szCs w:val="27"/>
              </w:rPr>
            </w:pPr>
            <w:r w:rsidRPr="003473EF">
              <w:rPr>
                <w:sz w:val="27"/>
                <w:szCs w:val="27"/>
              </w:rPr>
              <w:t>виконує функції начальника управління соціально-економічного розвитку та фінансового забезпечення</w:t>
            </w:r>
          </w:p>
          <w:p w:rsidR="001B77D4" w:rsidRPr="003473EF" w:rsidRDefault="001B77D4" w:rsidP="001B77D4">
            <w:pPr>
              <w:spacing w:after="120"/>
              <w:jc w:val="both"/>
              <w:rPr>
                <w:sz w:val="27"/>
                <w:szCs w:val="27"/>
              </w:rPr>
            </w:pPr>
            <w:r w:rsidRPr="003473EF">
              <w:rPr>
                <w:sz w:val="27"/>
                <w:szCs w:val="27"/>
              </w:rPr>
              <w:t>спрямовує роботу відділів економічного аналізу, прогнозів, соціальної політики, розвитку сільських територій та інвестицій, бухгалтерського обліку, та фінансово-кредитного забезпечення;</w:t>
            </w:r>
          </w:p>
          <w:p w:rsidR="001B77D4" w:rsidRPr="003473EF" w:rsidRDefault="001B77D4" w:rsidP="001B77D4">
            <w:pPr>
              <w:spacing w:after="120"/>
              <w:jc w:val="both"/>
              <w:rPr>
                <w:sz w:val="27"/>
                <w:szCs w:val="27"/>
              </w:rPr>
            </w:pPr>
            <w:r w:rsidRPr="003473EF">
              <w:rPr>
                <w:sz w:val="27"/>
                <w:szCs w:val="27"/>
              </w:rPr>
              <w:t>за відсутності заступника директора департаменту начальника управління розвитку агропромислового виробництва та аграрного ринку департаменту агропромислового розвитку облдержадміністрації виконує його обов’язки;</w:t>
            </w:r>
          </w:p>
          <w:p w:rsidR="001B77D4" w:rsidRPr="003473EF" w:rsidRDefault="001B77D4" w:rsidP="001B77D4">
            <w:pPr>
              <w:spacing w:after="120"/>
              <w:jc w:val="both"/>
              <w:rPr>
                <w:sz w:val="27"/>
                <w:szCs w:val="27"/>
              </w:rPr>
            </w:pPr>
            <w:r w:rsidRPr="003473EF">
              <w:rPr>
                <w:sz w:val="27"/>
                <w:szCs w:val="27"/>
              </w:rPr>
              <w:t>забезпечує реалізацію державної аграрної політики, розроблення та виконання обласних інноваційно-інвестиційних та інших програм і прогнозів розвитку галузей агропромислового виробництва;</w:t>
            </w:r>
          </w:p>
          <w:p w:rsidR="001B77D4" w:rsidRPr="003473EF" w:rsidRDefault="001B77D4" w:rsidP="001B77D4">
            <w:pPr>
              <w:spacing w:after="120"/>
              <w:jc w:val="both"/>
              <w:rPr>
                <w:sz w:val="27"/>
                <w:szCs w:val="27"/>
              </w:rPr>
            </w:pPr>
            <w:r w:rsidRPr="003473EF">
              <w:rPr>
                <w:sz w:val="27"/>
                <w:szCs w:val="27"/>
              </w:rPr>
              <w:t>бере участь у формуванні та реалізації соціальної політики на селі, сталого розвитку сільських територій області;</w:t>
            </w:r>
          </w:p>
          <w:p w:rsidR="001B77D4" w:rsidRPr="003473EF" w:rsidRDefault="001B77D4" w:rsidP="001B77D4">
            <w:pPr>
              <w:spacing w:after="120"/>
              <w:jc w:val="both"/>
              <w:rPr>
                <w:sz w:val="27"/>
                <w:szCs w:val="27"/>
              </w:rPr>
            </w:pPr>
            <w:r w:rsidRPr="003473EF">
              <w:rPr>
                <w:sz w:val="27"/>
                <w:szCs w:val="27"/>
              </w:rPr>
              <w:t>готує пропозиції до проектів програм і прогнозів обласного соціально-економічного розвитку, а також відповідних цільових програм розвитку галузей агропромислового виробництва;</w:t>
            </w:r>
          </w:p>
          <w:p w:rsidR="001B77D4" w:rsidRPr="003473EF" w:rsidRDefault="001B77D4" w:rsidP="001B77D4">
            <w:pPr>
              <w:spacing w:after="120"/>
              <w:jc w:val="both"/>
              <w:rPr>
                <w:sz w:val="27"/>
                <w:szCs w:val="27"/>
              </w:rPr>
            </w:pPr>
            <w:r w:rsidRPr="003473EF">
              <w:rPr>
                <w:sz w:val="27"/>
                <w:szCs w:val="27"/>
              </w:rPr>
              <w:t>бере участь у підготовці пропозицій до проектів програм соціально-економічного та культурного розвитку області;</w:t>
            </w:r>
          </w:p>
          <w:p w:rsidR="001B77D4" w:rsidRPr="003473EF" w:rsidRDefault="001B77D4" w:rsidP="001B77D4">
            <w:pPr>
              <w:spacing w:after="120"/>
              <w:jc w:val="both"/>
              <w:rPr>
                <w:sz w:val="27"/>
                <w:szCs w:val="27"/>
              </w:rPr>
            </w:pPr>
            <w:r w:rsidRPr="003473EF">
              <w:rPr>
                <w:sz w:val="27"/>
                <w:szCs w:val="27"/>
              </w:rPr>
              <w:t>проводить опрацювання пропозицій щодо залучення інвестицій для технічного переоснащення агропромислового комплексу області;</w:t>
            </w:r>
          </w:p>
          <w:p w:rsidR="001B77D4" w:rsidRPr="003473EF" w:rsidRDefault="001B77D4" w:rsidP="001B77D4">
            <w:pPr>
              <w:spacing w:after="120"/>
              <w:jc w:val="both"/>
              <w:rPr>
                <w:sz w:val="27"/>
                <w:szCs w:val="27"/>
              </w:rPr>
            </w:pPr>
            <w:r w:rsidRPr="003473EF">
              <w:rPr>
                <w:sz w:val="27"/>
                <w:szCs w:val="27"/>
              </w:rPr>
              <w:t xml:space="preserve">бере участь у розробленні проектів розпоряджень </w:t>
            </w:r>
            <w:r w:rsidRPr="003473EF">
              <w:rPr>
                <w:sz w:val="27"/>
                <w:szCs w:val="27"/>
              </w:rPr>
              <w:lastRenderedPageBreak/>
              <w:t>голови облдержадміністрації, проектів нормативно-правових актів, головними розробниками яких є інші структурні підрозділи;</w:t>
            </w:r>
          </w:p>
          <w:p w:rsidR="001B77D4" w:rsidRPr="003473EF" w:rsidRDefault="001B77D4" w:rsidP="001B77D4">
            <w:pPr>
              <w:spacing w:after="120"/>
              <w:jc w:val="both"/>
              <w:rPr>
                <w:sz w:val="27"/>
                <w:szCs w:val="27"/>
              </w:rPr>
            </w:pPr>
            <w:r w:rsidRPr="003473EF">
              <w:rPr>
                <w:sz w:val="27"/>
                <w:szCs w:val="27"/>
              </w:rPr>
              <w:t>готує самостійно або разом з іншими структурними підрозділами інформаційні та аналітичні матеріали для подання голові облдержадміністрації;</w:t>
            </w:r>
          </w:p>
          <w:p w:rsidR="001B77D4" w:rsidRPr="003473EF" w:rsidRDefault="001B77D4" w:rsidP="001B77D4">
            <w:pPr>
              <w:spacing w:after="120"/>
              <w:jc w:val="both"/>
              <w:rPr>
                <w:sz w:val="27"/>
                <w:szCs w:val="27"/>
              </w:rPr>
            </w:pPr>
            <w:r w:rsidRPr="003473EF">
              <w:rPr>
                <w:sz w:val="27"/>
                <w:szCs w:val="27"/>
              </w:rPr>
              <w:t>реалізовує державну політику у сфері соціально-трудових відносин;</w:t>
            </w:r>
          </w:p>
          <w:p w:rsidR="001B77D4" w:rsidRPr="003473EF" w:rsidRDefault="001B77D4" w:rsidP="001B77D4">
            <w:pPr>
              <w:spacing w:after="120"/>
              <w:jc w:val="both"/>
              <w:rPr>
                <w:sz w:val="27"/>
                <w:szCs w:val="27"/>
              </w:rPr>
            </w:pPr>
            <w:r w:rsidRPr="003473EF">
              <w:rPr>
                <w:sz w:val="27"/>
                <w:szCs w:val="27"/>
              </w:rPr>
              <w:t>розглядає в установленому законодавством порядку звернення громадян;</w:t>
            </w:r>
          </w:p>
          <w:p w:rsidR="001B77D4" w:rsidRPr="003473EF" w:rsidRDefault="001B77D4" w:rsidP="001B77D4">
            <w:pPr>
              <w:spacing w:after="120"/>
              <w:jc w:val="both"/>
              <w:rPr>
                <w:sz w:val="27"/>
                <w:szCs w:val="27"/>
              </w:rPr>
            </w:pPr>
            <w:r w:rsidRPr="003473EF">
              <w:rPr>
                <w:sz w:val="27"/>
                <w:szCs w:val="27"/>
              </w:rPr>
              <w:t>опрацьовує запити і звернення народних депутатів України та депутатів відповідних місцевих рад;</w:t>
            </w:r>
          </w:p>
          <w:p w:rsidR="001B77D4" w:rsidRPr="003473EF" w:rsidRDefault="001B77D4" w:rsidP="001B77D4">
            <w:pPr>
              <w:spacing w:after="120"/>
              <w:jc w:val="both"/>
              <w:rPr>
                <w:sz w:val="27"/>
                <w:szCs w:val="27"/>
              </w:rPr>
            </w:pPr>
            <w:r w:rsidRPr="003473EF">
              <w:rPr>
                <w:sz w:val="27"/>
                <w:szCs w:val="27"/>
              </w:rPr>
              <w:t>забезпечує доступ до публічної інформації, розпорядником якої він є;</w:t>
            </w:r>
          </w:p>
          <w:p w:rsidR="001B77D4" w:rsidRPr="003473EF" w:rsidRDefault="001B77D4" w:rsidP="001B77D4">
            <w:pPr>
              <w:spacing w:after="120"/>
              <w:jc w:val="both"/>
              <w:rPr>
                <w:sz w:val="27"/>
                <w:szCs w:val="27"/>
              </w:rPr>
            </w:pPr>
            <w:r w:rsidRPr="003473EF">
              <w:rPr>
                <w:sz w:val="27"/>
                <w:szCs w:val="27"/>
              </w:rPr>
              <w:t>здійснює повноваження, делеговані органами місцевого самоврядування;</w:t>
            </w:r>
          </w:p>
          <w:p w:rsidR="001B77D4" w:rsidRPr="003473EF" w:rsidRDefault="001B77D4" w:rsidP="001B77D4">
            <w:pPr>
              <w:spacing w:after="120"/>
              <w:jc w:val="both"/>
              <w:rPr>
                <w:sz w:val="27"/>
                <w:szCs w:val="27"/>
              </w:rPr>
            </w:pPr>
            <w:r w:rsidRPr="003473EF">
              <w:rPr>
                <w:sz w:val="27"/>
                <w:szCs w:val="27"/>
              </w:rPr>
              <w:t>забезпечує, у межах своїх повноважень, реалізацію державної політики стосовно захисту інформації з обмеженим доступом;</w:t>
            </w:r>
          </w:p>
          <w:p w:rsidR="001B77D4" w:rsidRPr="003473EF" w:rsidRDefault="001B77D4" w:rsidP="001B77D4">
            <w:pPr>
              <w:spacing w:after="120"/>
              <w:jc w:val="both"/>
              <w:rPr>
                <w:sz w:val="27"/>
                <w:szCs w:val="27"/>
              </w:rPr>
            </w:pPr>
            <w:r w:rsidRPr="003473EF">
              <w:rPr>
                <w:sz w:val="27"/>
                <w:szCs w:val="27"/>
              </w:rPr>
              <w:t xml:space="preserve">готує пропозиції щодо укладання з профспілковими організаціями в агропромисловому виробництві галузевих і регіональних угод; </w:t>
            </w:r>
          </w:p>
          <w:p w:rsidR="001B77D4" w:rsidRPr="003473EF" w:rsidRDefault="001B77D4" w:rsidP="001B77D4">
            <w:pPr>
              <w:spacing w:after="120"/>
              <w:jc w:val="both"/>
              <w:rPr>
                <w:sz w:val="27"/>
                <w:szCs w:val="27"/>
              </w:rPr>
            </w:pPr>
            <w:r w:rsidRPr="003473EF">
              <w:rPr>
                <w:sz w:val="27"/>
                <w:szCs w:val="27"/>
              </w:rPr>
              <w:t>бере участь у вирішенні, відповідно до законодавства, колективних трудових спорів (конфліктів);</w:t>
            </w:r>
          </w:p>
          <w:p w:rsidR="001B77D4" w:rsidRPr="003473EF" w:rsidRDefault="001B77D4" w:rsidP="001B77D4">
            <w:pPr>
              <w:spacing w:after="120"/>
              <w:jc w:val="both"/>
              <w:rPr>
                <w:sz w:val="27"/>
                <w:szCs w:val="27"/>
              </w:rPr>
            </w:pPr>
            <w:r w:rsidRPr="003473EF">
              <w:rPr>
                <w:sz w:val="27"/>
                <w:szCs w:val="27"/>
              </w:rPr>
              <w:t>забезпечує захист персональних даних;</w:t>
            </w:r>
          </w:p>
          <w:p w:rsidR="001B77D4" w:rsidRPr="003473EF" w:rsidRDefault="001B77D4" w:rsidP="001B77D4">
            <w:pPr>
              <w:spacing w:after="120"/>
              <w:jc w:val="both"/>
              <w:rPr>
                <w:sz w:val="27"/>
                <w:szCs w:val="27"/>
              </w:rPr>
            </w:pPr>
            <w:r w:rsidRPr="003473EF">
              <w:rPr>
                <w:sz w:val="27"/>
                <w:szCs w:val="27"/>
              </w:rPr>
              <w:t>надає допомогу підприємствам, установам та організаціям з питань додержання правил ведення бухгалтерського обліку і фінансової звітності, сприяє розвитку статистики в галузях агропромислового виробництва;</w:t>
            </w:r>
          </w:p>
          <w:p w:rsidR="001B77D4" w:rsidRPr="003473EF" w:rsidRDefault="001B77D4" w:rsidP="001B77D4">
            <w:pPr>
              <w:spacing w:after="120"/>
              <w:jc w:val="both"/>
              <w:rPr>
                <w:sz w:val="27"/>
                <w:szCs w:val="27"/>
              </w:rPr>
            </w:pPr>
            <w:r w:rsidRPr="003473EF">
              <w:rPr>
                <w:sz w:val="27"/>
                <w:szCs w:val="27"/>
              </w:rPr>
              <w:t>вживає заходів щодо цільового та ефективного використання коштів державного бюджету, спрямованих за бюджетними програмами, передбаченими  для профільного міністерства Законом України «Про державний бюджет» на відповідний рік, та інформує суб’єктів господарювання агропромислового комплексу стосовно застосування норм порядків використання коштів за зазначеними бюджетними програмами;</w:t>
            </w:r>
          </w:p>
          <w:p w:rsidR="001B77D4" w:rsidRPr="003473EF" w:rsidRDefault="001B77D4" w:rsidP="001B77D4">
            <w:pPr>
              <w:spacing w:after="120"/>
              <w:jc w:val="both"/>
              <w:rPr>
                <w:sz w:val="27"/>
                <w:szCs w:val="27"/>
              </w:rPr>
            </w:pPr>
            <w:r w:rsidRPr="003473EF">
              <w:rPr>
                <w:sz w:val="27"/>
                <w:szCs w:val="27"/>
              </w:rPr>
              <w:t>вносить пропозиції щодо проекту відповідного місцевого бюджету;</w:t>
            </w:r>
          </w:p>
          <w:p w:rsidR="001B77D4" w:rsidRPr="003473EF" w:rsidRDefault="001B77D4" w:rsidP="001B77D4">
            <w:pPr>
              <w:spacing w:after="120"/>
              <w:jc w:val="both"/>
              <w:rPr>
                <w:sz w:val="27"/>
                <w:szCs w:val="27"/>
              </w:rPr>
            </w:pPr>
            <w:r w:rsidRPr="003473EF">
              <w:rPr>
                <w:sz w:val="27"/>
                <w:szCs w:val="27"/>
              </w:rPr>
              <w:lastRenderedPageBreak/>
              <w:t>здійснює аналіз статистичних показників діяльності агропромислового комплексу та надання відповідної інформації профільному міністерству для прийняття рішень і впровадження заходів, що забезпечують підвищення економічної ефективності роботи агропромислового комплексу та дозволяють забезпечувати  продовольчу безпеку держави  на відповідному рівні;</w:t>
            </w:r>
          </w:p>
          <w:p w:rsidR="001B77D4" w:rsidRPr="003473EF" w:rsidRDefault="001B77D4" w:rsidP="001B77D4">
            <w:pPr>
              <w:spacing w:after="120"/>
              <w:jc w:val="both"/>
              <w:rPr>
                <w:sz w:val="27"/>
                <w:szCs w:val="27"/>
              </w:rPr>
            </w:pPr>
            <w:r w:rsidRPr="003473EF">
              <w:rPr>
                <w:sz w:val="27"/>
                <w:szCs w:val="27"/>
              </w:rPr>
              <w:t>забезпечує виконання механізму надання державної підтримки, яка передбачена законодавством, сільськогосподарським товаровиробникам усіх форм власності та господарювання;</w:t>
            </w:r>
          </w:p>
          <w:p w:rsidR="001B77D4" w:rsidRPr="003473EF" w:rsidRDefault="001B77D4" w:rsidP="001B77D4">
            <w:pPr>
              <w:spacing w:after="120"/>
              <w:jc w:val="both"/>
              <w:rPr>
                <w:sz w:val="27"/>
                <w:szCs w:val="27"/>
              </w:rPr>
            </w:pPr>
            <w:r w:rsidRPr="003473EF">
              <w:rPr>
                <w:sz w:val="27"/>
                <w:szCs w:val="27"/>
              </w:rPr>
              <w:t>сприяє у межах своїх повноважень, впровадженню сучасних технологій виробництва, інформаційно-комунікаційних технологій, створенню системи національних інформаційних ресурсів;</w:t>
            </w:r>
          </w:p>
          <w:p w:rsidR="001B77D4" w:rsidRPr="003473EF" w:rsidRDefault="001B77D4" w:rsidP="001B77D4">
            <w:pPr>
              <w:spacing w:after="120"/>
              <w:jc w:val="both"/>
              <w:rPr>
                <w:sz w:val="27"/>
                <w:szCs w:val="27"/>
              </w:rPr>
            </w:pPr>
            <w:r w:rsidRPr="003473EF">
              <w:rPr>
                <w:sz w:val="27"/>
                <w:szCs w:val="27"/>
              </w:rPr>
              <w:t>бере участь у комплексному розвитку сільських територій;</w:t>
            </w:r>
          </w:p>
          <w:p w:rsidR="001B77D4" w:rsidRPr="003473EF" w:rsidRDefault="001B77D4" w:rsidP="001B77D4">
            <w:pPr>
              <w:spacing w:after="120"/>
              <w:jc w:val="both"/>
              <w:rPr>
                <w:sz w:val="27"/>
                <w:szCs w:val="27"/>
              </w:rPr>
            </w:pPr>
            <w:r w:rsidRPr="003473EF">
              <w:rPr>
                <w:sz w:val="27"/>
                <w:szCs w:val="27"/>
              </w:rPr>
              <w:t>у реалізації державної регуляторної політики;</w:t>
            </w:r>
          </w:p>
          <w:p w:rsidR="008C1563" w:rsidRPr="003473EF" w:rsidRDefault="001B77D4" w:rsidP="001B77D4">
            <w:pPr>
              <w:spacing w:after="120"/>
              <w:ind w:firstLine="32"/>
              <w:jc w:val="both"/>
              <w:rPr>
                <w:sz w:val="27"/>
                <w:szCs w:val="27"/>
              </w:rPr>
            </w:pPr>
            <w:r w:rsidRPr="003473EF">
              <w:rPr>
                <w:sz w:val="27"/>
                <w:szCs w:val="27"/>
              </w:rPr>
              <w:t>виконує інші функції, що випливають з покладених на нього завдань.</w:t>
            </w:r>
          </w:p>
        </w:tc>
      </w:tr>
      <w:tr w:rsidR="00D76D70" w:rsidRPr="003473EF">
        <w:tc>
          <w:tcPr>
            <w:tcW w:w="3229" w:type="dxa"/>
            <w:gridSpan w:val="2"/>
            <w:tcMar>
              <w:left w:w="108" w:type="dxa"/>
              <w:right w:w="108" w:type="dxa"/>
            </w:tcMar>
          </w:tcPr>
          <w:p w:rsidR="00D76D70" w:rsidRPr="003473EF" w:rsidRDefault="00D76D70" w:rsidP="00D76D70">
            <w:pPr>
              <w:pStyle w:val="rvps14"/>
              <w:spacing w:before="0" w:beforeAutospacing="0" w:after="0" w:afterAutospacing="0"/>
              <w:rPr>
                <w:sz w:val="27"/>
                <w:szCs w:val="27"/>
              </w:rPr>
            </w:pPr>
            <w:r w:rsidRPr="003473EF">
              <w:rPr>
                <w:sz w:val="27"/>
                <w:szCs w:val="27"/>
              </w:rPr>
              <w:lastRenderedPageBreak/>
              <w:t>Інформація про строковість чи безстроковість призначення на посаду</w:t>
            </w:r>
          </w:p>
        </w:tc>
        <w:tc>
          <w:tcPr>
            <w:tcW w:w="6625" w:type="dxa"/>
            <w:tcMar>
              <w:left w:w="108" w:type="dxa"/>
              <w:right w:w="108" w:type="dxa"/>
            </w:tcMar>
            <w:vAlign w:val="center"/>
          </w:tcPr>
          <w:p w:rsidR="00696ACC" w:rsidRPr="003473EF" w:rsidRDefault="007A2927" w:rsidP="00641F79">
            <w:pPr>
              <w:ind w:right="113" w:firstLine="51"/>
              <w:rPr>
                <w:sz w:val="27"/>
                <w:szCs w:val="27"/>
              </w:rPr>
            </w:pPr>
            <w:r w:rsidRPr="003473EF">
              <w:rPr>
                <w:sz w:val="27"/>
                <w:szCs w:val="27"/>
              </w:rPr>
              <w:t>Призначення на посаду строкове до призначення на цю посаду переможця конкурсу, але не більше ніж 12 місяців з дня припинення чи скасування воєнного стану.</w:t>
            </w:r>
          </w:p>
        </w:tc>
      </w:tr>
      <w:tr w:rsidR="00D76D70" w:rsidRPr="003473EF">
        <w:tc>
          <w:tcPr>
            <w:tcW w:w="9854" w:type="dxa"/>
            <w:gridSpan w:val="3"/>
            <w:tcMar>
              <w:left w:w="108" w:type="dxa"/>
              <w:right w:w="108" w:type="dxa"/>
            </w:tcMar>
          </w:tcPr>
          <w:p w:rsidR="00D76D70" w:rsidRPr="003473EF" w:rsidRDefault="00D76D70" w:rsidP="00D76D70">
            <w:pPr>
              <w:pStyle w:val="rvps12"/>
              <w:spacing w:before="0" w:beforeAutospacing="0" w:after="0" w:afterAutospacing="0"/>
              <w:ind w:left="113" w:right="113" w:firstLine="113"/>
              <w:jc w:val="center"/>
              <w:rPr>
                <w:sz w:val="27"/>
                <w:szCs w:val="27"/>
              </w:rPr>
            </w:pPr>
            <w:r w:rsidRPr="003473EF">
              <w:rPr>
                <w:sz w:val="27"/>
                <w:szCs w:val="27"/>
              </w:rPr>
              <w:t>Кваліфікаційні вимоги</w:t>
            </w:r>
          </w:p>
        </w:tc>
      </w:tr>
      <w:tr w:rsidR="00D76D70" w:rsidRPr="003473EF">
        <w:tc>
          <w:tcPr>
            <w:tcW w:w="450" w:type="dxa"/>
            <w:tcMar>
              <w:left w:w="108" w:type="dxa"/>
              <w:right w:w="108" w:type="dxa"/>
            </w:tcMar>
          </w:tcPr>
          <w:p w:rsidR="00D76D70" w:rsidRPr="003473EF" w:rsidRDefault="00D76D70" w:rsidP="00D76D70">
            <w:pPr>
              <w:pStyle w:val="rvps12"/>
              <w:jc w:val="center"/>
              <w:rPr>
                <w:sz w:val="27"/>
                <w:szCs w:val="27"/>
              </w:rPr>
            </w:pPr>
            <w:r w:rsidRPr="003473EF">
              <w:rPr>
                <w:sz w:val="27"/>
                <w:szCs w:val="27"/>
              </w:rPr>
              <w:t>1.</w:t>
            </w:r>
          </w:p>
        </w:tc>
        <w:tc>
          <w:tcPr>
            <w:tcW w:w="2779" w:type="dxa"/>
            <w:tcMar>
              <w:left w:w="108" w:type="dxa"/>
              <w:right w:w="108" w:type="dxa"/>
            </w:tcMar>
          </w:tcPr>
          <w:p w:rsidR="00D76D70" w:rsidRPr="003473EF" w:rsidRDefault="00D76D70" w:rsidP="00EA0154">
            <w:pPr>
              <w:pStyle w:val="rvps14"/>
              <w:spacing w:before="0" w:beforeAutospacing="0" w:after="0" w:afterAutospacing="0"/>
              <w:rPr>
                <w:sz w:val="27"/>
                <w:szCs w:val="27"/>
              </w:rPr>
            </w:pPr>
            <w:r w:rsidRPr="003473EF">
              <w:rPr>
                <w:sz w:val="27"/>
                <w:szCs w:val="27"/>
              </w:rPr>
              <w:t>Освіта</w:t>
            </w:r>
          </w:p>
        </w:tc>
        <w:tc>
          <w:tcPr>
            <w:tcW w:w="6625" w:type="dxa"/>
            <w:tcMar>
              <w:left w:w="108" w:type="dxa"/>
              <w:right w:w="108" w:type="dxa"/>
            </w:tcMar>
          </w:tcPr>
          <w:p w:rsidR="002715C0" w:rsidRPr="003473EF" w:rsidRDefault="00E00458" w:rsidP="00E00458">
            <w:pPr>
              <w:jc w:val="both"/>
              <w:rPr>
                <w:sz w:val="27"/>
                <w:szCs w:val="27"/>
              </w:rPr>
            </w:pPr>
            <w:r w:rsidRPr="003473EF">
              <w:rPr>
                <w:sz w:val="27"/>
                <w:szCs w:val="27"/>
              </w:rPr>
              <w:t>вища, не нижче ступеня магістра, за напрямами – економіка та/або фінанси</w:t>
            </w:r>
          </w:p>
        </w:tc>
      </w:tr>
      <w:tr w:rsidR="00D76D70" w:rsidRPr="003473EF">
        <w:tc>
          <w:tcPr>
            <w:tcW w:w="450" w:type="dxa"/>
            <w:tcMar>
              <w:left w:w="108" w:type="dxa"/>
              <w:right w:w="108" w:type="dxa"/>
            </w:tcMar>
          </w:tcPr>
          <w:p w:rsidR="00D76D70" w:rsidRPr="003473EF" w:rsidRDefault="00D76D70" w:rsidP="00D76D70">
            <w:pPr>
              <w:pStyle w:val="rvps12"/>
              <w:jc w:val="center"/>
              <w:rPr>
                <w:sz w:val="27"/>
                <w:szCs w:val="27"/>
              </w:rPr>
            </w:pPr>
            <w:r w:rsidRPr="003473EF">
              <w:rPr>
                <w:sz w:val="27"/>
                <w:szCs w:val="27"/>
              </w:rPr>
              <w:t>2.</w:t>
            </w:r>
          </w:p>
        </w:tc>
        <w:tc>
          <w:tcPr>
            <w:tcW w:w="2779" w:type="dxa"/>
            <w:tcMar>
              <w:left w:w="108" w:type="dxa"/>
              <w:right w:w="108" w:type="dxa"/>
            </w:tcMar>
          </w:tcPr>
          <w:p w:rsidR="00D76D70" w:rsidRPr="003473EF" w:rsidRDefault="00D76D70" w:rsidP="00D76D70">
            <w:pPr>
              <w:pStyle w:val="rvps14"/>
              <w:spacing w:before="0" w:beforeAutospacing="0" w:after="0" w:afterAutospacing="0"/>
              <w:rPr>
                <w:sz w:val="27"/>
                <w:szCs w:val="27"/>
              </w:rPr>
            </w:pPr>
            <w:r w:rsidRPr="003473EF">
              <w:rPr>
                <w:sz w:val="27"/>
                <w:szCs w:val="27"/>
              </w:rPr>
              <w:t>Досвід роботи</w:t>
            </w:r>
          </w:p>
        </w:tc>
        <w:tc>
          <w:tcPr>
            <w:tcW w:w="6625" w:type="dxa"/>
            <w:tcMar>
              <w:left w:w="108" w:type="dxa"/>
              <w:right w:w="108" w:type="dxa"/>
            </w:tcMar>
          </w:tcPr>
          <w:p w:rsidR="00BA787B" w:rsidRPr="003473EF" w:rsidRDefault="00E00458" w:rsidP="00E00458">
            <w:pPr>
              <w:jc w:val="both"/>
              <w:rPr>
                <w:sz w:val="27"/>
                <w:szCs w:val="27"/>
              </w:rPr>
            </w:pPr>
            <w:r w:rsidRPr="003473EF">
              <w:rPr>
                <w:sz w:val="27"/>
                <w:szCs w:val="27"/>
              </w:rPr>
              <w:t>досвід роботи на посадах державної служби категорії "Б" чи "В" або досвід роботи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D76D70" w:rsidRPr="003473EF">
        <w:tc>
          <w:tcPr>
            <w:tcW w:w="450" w:type="dxa"/>
            <w:tcMar>
              <w:left w:w="108" w:type="dxa"/>
              <w:right w:w="108" w:type="dxa"/>
            </w:tcMar>
          </w:tcPr>
          <w:p w:rsidR="00D76D70" w:rsidRPr="003473EF" w:rsidRDefault="00D76D70" w:rsidP="00D76D70">
            <w:pPr>
              <w:pStyle w:val="rvps12"/>
              <w:jc w:val="center"/>
              <w:rPr>
                <w:sz w:val="27"/>
                <w:szCs w:val="27"/>
              </w:rPr>
            </w:pPr>
            <w:r w:rsidRPr="003473EF">
              <w:rPr>
                <w:sz w:val="27"/>
                <w:szCs w:val="27"/>
              </w:rPr>
              <w:t>3.</w:t>
            </w:r>
          </w:p>
        </w:tc>
        <w:tc>
          <w:tcPr>
            <w:tcW w:w="2779" w:type="dxa"/>
            <w:tcMar>
              <w:left w:w="108" w:type="dxa"/>
              <w:right w:w="108" w:type="dxa"/>
            </w:tcMar>
          </w:tcPr>
          <w:p w:rsidR="00D76D70" w:rsidRPr="003473EF" w:rsidRDefault="00D76D70" w:rsidP="00D76D70">
            <w:pPr>
              <w:pStyle w:val="rvps14"/>
              <w:spacing w:before="0" w:beforeAutospacing="0" w:after="0" w:afterAutospacing="0"/>
              <w:rPr>
                <w:sz w:val="27"/>
                <w:szCs w:val="27"/>
              </w:rPr>
            </w:pPr>
            <w:r w:rsidRPr="003473EF">
              <w:rPr>
                <w:sz w:val="27"/>
                <w:szCs w:val="27"/>
              </w:rPr>
              <w:t>Володіння державною мовою</w:t>
            </w:r>
          </w:p>
        </w:tc>
        <w:tc>
          <w:tcPr>
            <w:tcW w:w="6625" w:type="dxa"/>
            <w:tcMar>
              <w:left w:w="108" w:type="dxa"/>
              <w:right w:w="108" w:type="dxa"/>
            </w:tcMar>
          </w:tcPr>
          <w:p w:rsidR="00D76D70" w:rsidRPr="003473EF" w:rsidRDefault="007A2927" w:rsidP="00D76D70">
            <w:pPr>
              <w:ind w:right="113" w:hanging="20"/>
              <w:rPr>
                <w:sz w:val="27"/>
                <w:szCs w:val="27"/>
              </w:rPr>
            </w:pPr>
            <w:r w:rsidRPr="003473EF">
              <w:rPr>
                <w:sz w:val="27"/>
                <w:szCs w:val="27"/>
              </w:rPr>
              <w:t>вільне володіння державною мовою.</w:t>
            </w:r>
          </w:p>
        </w:tc>
      </w:tr>
      <w:tr w:rsidR="00D76D70" w:rsidRPr="003473EF">
        <w:tblPrEx>
          <w:tblCellMar>
            <w:top w:w="0" w:type="dxa"/>
            <w:left w:w="108" w:type="dxa"/>
            <w:bottom w:w="0" w:type="dxa"/>
            <w:right w:w="108" w:type="dxa"/>
          </w:tblCellMar>
          <w:tblLook w:val="00A0"/>
        </w:tblPrEx>
        <w:tc>
          <w:tcPr>
            <w:tcW w:w="9854" w:type="dxa"/>
            <w:gridSpan w:val="3"/>
          </w:tcPr>
          <w:p w:rsidR="00D76D70" w:rsidRPr="003473EF" w:rsidRDefault="00D76D70" w:rsidP="007A2927">
            <w:pPr>
              <w:pStyle w:val="a8"/>
              <w:jc w:val="center"/>
              <w:rPr>
                <w:rFonts w:ascii="Times New Roman" w:hAnsi="Times New Roman"/>
                <w:sz w:val="27"/>
                <w:szCs w:val="27"/>
                <w:lang w:val="uk-UA"/>
              </w:rPr>
            </w:pPr>
            <w:r w:rsidRPr="003473EF">
              <w:rPr>
                <w:rFonts w:ascii="Times New Roman" w:hAnsi="Times New Roman"/>
                <w:sz w:val="27"/>
                <w:szCs w:val="27"/>
                <w:lang w:val="uk-UA"/>
              </w:rPr>
              <w:t xml:space="preserve">Вимоги </w:t>
            </w:r>
          </w:p>
        </w:tc>
      </w:tr>
      <w:tr w:rsidR="007A2927" w:rsidRPr="003473EF" w:rsidTr="008F3A90">
        <w:tblPrEx>
          <w:tblCellMar>
            <w:top w:w="0" w:type="dxa"/>
            <w:left w:w="108" w:type="dxa"/>
            <w:bottom w:w="0" w:type="dxa"/>
            <w:right w:w="108" w:type="dxa"/>
          </w:tblCellMar>
          <w:tblLook w:val="00A0"/>
        </w:tblPrEx>
        <w:tc>
          <w:tcPr>
            <w:tcW w:w="9854" w:type="dxa"/>
            <w:gridSpan w:val="3"/>
          </w:tcPr>
          <w:p w:rsidR="007A2927" w:rsidRPr="003473EF" w:rsidRDefault="007A2927" w:rsidP="007A2927">
            <w:pPr>
              <w:pStyle w:val="a8"/>
              <w:numPr>
                <w:ilvl w:val="0"/>
                <w:numId w:val="2"/>
              </w:numPr>
              <w:jc w:val="both"/>
              <w:rPr>
                <w:rFonts w:ascii="Times New Roman" w:hAnsi="Times New Roman"/>
                <w:sz w:val="27"/>
                <w:szCs w:val="27"/>
                <w:lang w:val="uk-UA"/>
              </w:rPr>
            </w:pPr>
            <w:r w:rsidRPr="003473EF">
              <w:rPr>
                <w:rFonts w:ascii="Times New Roman" w:hAnsi="Times New Roman"/>
                <w:sz w:val="27"/>
                <w:szCs w:val="27"/>
                <w:lang w:val="uk-UA"/>
              </w:rPr>
              <w:t>Громадянство України</w:t>
            </w:r>
          </w:p>
        </w:tc>
      </w:tr>
      <w:tr w:rsidR="007A2927" w:rsidRPr="003473EF" w:rsidTr="008F3A90">
        <w:tblPrEx>
          <w:tblCellMar>
            <w:top w:w="0" w:type="dxa"/>
            <w:left w:w="108" w:type="dxa"/>
            <w:bottom w:w="0" w:type="dxa"/>
            <w:right w:w="108" w:type="dxa"/>
          </w:tblCellMar>
          <w:tblLook w:val="00A0"/>
        </w:tblPrEx>
        <w:tc>
          <w:tcPr>
            <w:tcW w:w="9854" w:type="dxa"/>
            <w:gridSpan w:val="3"/>
          </w:tcPr>
          <w:p w:rsidR="007A2927" w:rsidRPr="003473EF" w:rsidRDefault="007A2927" w:rsidP="007A2927">
            <w:pPr>
              <w:pStyle w:val="a8"/>
              <w:numPr>
                <w:ilvl w:val="0"/>
                <w:numId w:val="2"/>
              </w:numPr>
              <w:jc w:val="both"/>
              <w:rPr>
                <w:rFonts w:ascii="Times New Roman" w:hAnsi="Times New Roman"/>
                <w:sz w:val="27"/>
                <w:szCs w:val="27"/>
                <w:lang w:val="uk-UA"/>
              </w:rPr>
            </w:pPr>
            <w:proofErr w:type="spellStart"/>
            <w:r w:rsidRPr="003473EF">
              <w:rPr>
                <w:rFonts w:ascii="Times New Roman" w:hAnsi="Times New Roman"/>
                <w:sz w:val="27"/>
                <w:szCs w:val="27"/>
                <w:lang w:val="uk-UA"/>
              </w:rPr>
              <w:t>Комунікативність</w:t>
            </w:r>
            <w:proofErr w:type="spellEnd"/>
            <w:r w:rsidRPr="003473EF">
              <w:rPr>
                <w:rFonts w:ascii="Times New Roman" w:hAnsi="Times New Roman"/>
                <w:sz w:val="27"/>
                <w:szCs w:val="27"/>
                <w:lang w:val="uk-UA"/>
              </w:rPr>
              <w:t xml:space="preserve"> та ініціативність</w:t>
            </w:r>
          </w:p>
        </w:tc>
      </w:tr>
      <w:tr w:rsidR="007A2927" w:rsidRPr="00DF091E" w:rsidTr="008F3A90">
        <w:tblPrEx>
          <w:tblCellMar>
            <w:top w:w="0" w:type="dxa"/>
            <w:left w:w="108" w:type="dxa"/>
            <w:bottom w:w="0" w:type="dxa"/>
            <w:right w:w="108" w:type="dxa"/>
          </w:tblCellMar>
          <w:tblLook w:val="00A0"/>
        </w:tblPrEx>
        <w:tc>
          <w:tcPr>
            <w:tcW w:w="9854" w:type="dxa"/>
            <w:gridSpan w:val="3"/>
          </w:tcPr>
          <w:p w:rsidR="007A2927" w:rsidRPr="003473EF" w:rsidRDefault="007A2927" w:rsidP="00734D3B">
            <w:pPr>
              <w:pStyle w:val="a8"/>
              <w:numPr>
                <w:ilvl w:val="0"/>
                <w:numId w:val="2"/>
              </w:numPr>
              <w:jc w:val="both"/>
              <w:rPr>
                <w:rFonts w:ascii="Times New Roman" w:hAnsi="Times New Roman"/>
                <w:sz w:val="27"/>
                <w:szCs w:val="27"/>
                <w:lang w:val="uk-UA"/>
              </w:rPr>
            </w:pPr>
            <w:r w:rsidRPr="003473EF">
              <w:rPr>
                <w:rFonts w:ascii="Times New Roman" w:hAnsi="Times New Roman"/>
                <w:sz w:val="27"/>
                <w:szCs w:val="27"/>
                <w:lang w:val="uk-UA"/>
              </w:rPr>
              <w:t xml:space="preserve">Знання законодавства:   </w:t>
            </w:r>
            <w:r w:rsidR="00E00458" w:rsidRPr="003473EF">
              <w:rPr>
                <w:rFonts w:ascii="Times New Roman" w:hAnsi="Times New Roman"/>
                <w:sz w:val="27"/>
                <w:szCs w:val="27"/>
                <w:lang w:val="uk-UA"/>
              </w:rPr>
              <w:t>Конституції України; Закону України "Про державну службу"; Закону України "Про запобігання корупції"; Закон України "Про публічні закупівлі"; Закон України "Про ціни та ціноутворення"; Постанови, розпорядження, накази, методичні, нормативні та інші керівні матеріали з питань соціально-економічного розвитку та фінансового забезпечення.</w:t>
            </w:r>
          </w:p>
        </w:tc>
      </w:tr>
    </w:tbl>
    <w:p w:rsidR="005544F5" w:rsidRPr="00DF091E" w:rsidRDefault="005544F5" w:rsidP="003473EF">
      <w:pPr>
        <w:rPr>
          <w:rStyle w:val="rvts82"/>
          <w:sz w:val="27"/>
          <w:szCs w:val="27"/>
        </w:rPr>
      </w:pPr>
    </w:p>
    <w:sectPr w:rsidR="005544F5" w:rsidRPr="00DF091E" w:rsidSect="00DF091E">
      <w:headerReference w:type="default" r:id="rId7"/>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6E3" w:rsidRDefault="00A546E3">
      <w:r>
        <w:separator/>
      </w:r>
    </w:p>
  </w:endnote>
  <w:endnote w:type="continuationSeparator" w:id="0">
    <w:p w:rsidR="00A546E3" w:rsidRDefault="00A54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Courier New"/>
    <w:charset w:val="00"/>
    <w:family w:val="swiss"/>
    <w:pitch w:val="variable"/>
    <w:sig w:usb0="00000001"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6E3" w:rsidRDefault="00A546E3">
      <w:r>
        <w:separator/>
      </w:r>
    </w:p>
  </w:footnote>
  <w:footnote w:type="continuationSeparator" w:id="0">
    <w:p w:rsidR="00A546E3" w:rsidRDefault="00A54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58" w:rsidRDefault="00E00458">
    <w:pPr>
      <w:pStyle w:val="a6"/>
      <w:jc w:val="center"/>
    </w:pPr>
    <w:fldSimple w:instr=" PAGE   \* MERGEFORMAT ">
      <w:r w:rsidR="0071364A">
        <w:rPr>
          <w:noProof/>
        </w:rPr>
        <w:t>4</w:t>
      </w:r>
    </w:fldSimple>
  </w:p>
  <w:p w:rsidR="00E00458" w:rsidRDefault="00E0045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92ED6"/>
    <w:multiLevelType w:val="hybridMultilevel"/>
    <w:tmpl w:val="E48C5224"/>
    <w:lvl w:ilvl="0" w:tplc="D06431D4">
      <w:start w:val="3"/>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86927E3"/>
    <w:multiLevelType w:val="hybridMultilevel"/>
    <w:tmpl w:val="6898ED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76D70"/>
    <w:rsid w:val="000671DE"/>
    <w:rsid w:val="00093B65"/>
    <w:rsid w:val="00095727"/>
    <w:rsid w:val="000B0403"/>
    <w:rsid w:val="000C6F06"/>
    <w:rsid w:val="00142C55"/>
    <w:rsid w:val="001478FB"/>
    <w:rsid w:val="00151CA6"/>
    <w:rsid w:val="001975EF"/>
    <w:rsid w:val="001B7184"/>
    <w:rsid w:val="001B75A8"/>
    <w:rsid w:val="001B77D4"/>
    <w:rsid w:val="001E311F"/>
    <w:rsid w:val="00236FCF"/>
    <w:rsid w:val="00270DA6"/>
    <w:rsid w:val="002715C0"/>
    <w:rsid w:val="00280871"/>
    <w:rsid w:val="00281EB5"/>
    <w:rsid w:val="002A61CF"/>
    <w:rsid w:val="002E3FC8"/>
    <w:rsid w:val="002E43A9"/>
    <w:rsid w:val="00342FDD"/>
    <w:rsid w:val="00343253"/>
    <w:rsid w:val="003473EF"/>
    <w:rsid w:val="00362033"/>
    <w:rsid w:val="00374E0D"/>
    <w:rsid w:val="00381728"/>
    <w:rsid w:val="00384016"/>
    <w:rsid w:val="0038691D"/>
    <w:rsid w:val="0039628F"/>
    <w:rsid w:val="003A177B"/>
    <w:rsid w:val="003A3E9E"/>
    <w:rsid w:val="003B6D7A"/>
    <w:rsid w:val="003D3EAF"/>
    <w:rsid w:val="003E6546"/>
    <w:rsid w:val="003F6846"/>
    <w:rsid w:val="004654C4"/>
    <w:rsid w:val="00477029"/>
    <w:rsid w:val="004A6B93"/>
    <w:rsid w:val="004D2248"/>
    <w:rsid w:val="004F11F6"/>
    <w:rsid w:val="00505224"/>
    <w:rsid w:val="00517B79"/>
    <w:rsid w:val="005260F5"/>
    <w:rsid w:val="00530B3E"/>
    <w:rsid w:val="0053169C"/>
    <w:rsid w:val="00541985"/>
    <w:rsid w:val="00551A96"/>
    <w:rsid w:val="005544F5"/>
    <w:rsid w:val="00566FFB"/>
    <w:rsid w:val="00572854"/>
    <w:rsid w:val="005A1D37"/>
    <w:rsid w:val="005A2173"/>
    <w:rsid w:val="005A3EFC"/>
    <w:rsid w:val="005A482B"/>
    <w:rsid w:val="005A7E30"/>
    <w:rsid w:val="005B277C"/>
    <w:rsid w:val="005B33A9"/>
    <w:rsid w:val="005C551C"/>
    <w:rsid w:val="005D10B6"/>
    <w:rsid w:val="005F3F54"/>
    <w:rsid w:val="00607706"/>
    <w:rsid w:val="00641F79"/>
    <w:rsid w:val="00654E08"/>
    <w:rsid w:val="0068243C"/>
    <w:rsid w:val="0068383F"/>
    <w:rsid w:val="00686EDA"/>
    <w:rsid w:val="00696ACC"/>
    <w:rsid w:val="006A1225"/>
    <w:rsid w:val="006A2DEF"/>
    <w:rsid w:val="006D7AF8"/>
    <w:rsid w:val="0071364A"/>
    <w:rsid w:val="0072066E"/>
    <w:rsid w:val="00732167"/>
    <w:rsid w:val="00734D3B"/>
    <w:rsid w:val="00776BDA"/>
    <w:rsid w:val="007A2927"/>
    <w:rsid w:val="007A510F"/>
    <w:rsid w:val="007E6D23"/>
    <w:rsid w:val="0080156A"/>
    <w:rsid w:val="0080167F"/>
    <w:rsid w:val="00803EF7"/>
    <w:rsid w:val="00847D4F"/>
    <w:rsid w:val="00854DA1"/>
    <w:rsid w:val="008843D1"/>
    <w:rsid w:val="008C1563"/>
    <w:rsid w:val="008D5E35"/>
    <w:rsid w:val="008E7D86"/>
    <w:rsid w:val="008F2585"/>
    <w:rsid w:val="008F3A90"/>
    <w:rsid w:val="0094078C"/>
    <w:rsid w:val="00955942"/>
    <w:rsid w:val="00960D56"/>
    <w:rsid w:val="009668E5"/>
    <w:rsid w:val="0099471A"/>
    <w:rsid w:val="009A66FB"/>
    <w:rsid w:val="00A16802"/>
    <w:rsid w:val="00A230CD"/>
    <w:rsid w:val="00A23E41"/>
    <w:rsid w:val="00A27176"/>
    <w:rsid w:val="00A33300"/>
    <w:rsid w:val="00A33A71"/>
    <w:rsid w:val="00A546E3"/>
    <w:rsid w:val="00AC158E"/>
    <w:rsid w:val="00AC3957"/>
    <w:rsid w:val="00B0728A"/>
    <w:rsid w:val="00B133C2"/>
    <w:rsid w:val="00B25728"/>
    <w:rsid w:val="00B87B97"/>
    <w:rsid w:val="00B976FB"/>
    <w:rsid w:val="00BA787B"/>
    <w:rsid w:val="00BB6760"/>
    <w:rsid w:val="00C2183B"/>
    <w:rsid w:val="00C53DCE"/>
    <w:rsid w:val="00C770B2"/>
    <w:rsid w:val="00C94A41"/>
    <w:rsid w:val="00C951F4"/>
    <w:rsid w:val="00CF3731"/>
    <w:rsid w:val="00D16019"/>
    <w:rsid w:val="00D43890"/>
    <w:rsid w:val="00D4659D"/>
    <w:rsid w:val="00D76BA2"/>
    <w:rsid w:val="00D76D70"/>
    <w:rsid w:val="00D8071B"/>
    <w:rsid w:val="00D84CB7"/>
    <w:rsid w:val="00DB0BFD"/>
    <w:rsid w:val="00DD6C2F"/>
    <w:rsid w:val="00DE03F6"/>
    <w:rsid w:val="00DF091E"/>
    <w:rsid w:val="00E00458"/>
    <w:rsid w:val="00E3535D"/>
    <w:rsid w:val="00E65F50"/>
    <w:rsid w:val="00E84185"/>
    <w:rsid w:val="00EA0154"/>
    <w:rsid w:val="00EB1D4A"/>
    <w:rsid w:val="00EB3552"/>
    <w:rsid w:val="00EB6CB6"/>
    <w:rsid w:val="00EC162D"/>
    <w:rsid w:val="00F134EB"/>
    <w:rsid w:val="00F14917"/>
    <w:rsid w:val="00F15736"/>
    <w:rsid w:val="00F22BE7"/>
    <w:rsid w:val="00F519BC"/>
    <w:rsid w:val="00F6301F"/>
    <w:rsid w:val="00FA6BD6"/>
    <w:rsid w:val="00FB5A6E"/>
    <w:rsid w:val="00FD6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0"/>
    <w:rPr>
      <w:rFonts w:eastAsia="MS Mincho"/>
      <w:sz w:val="24"/>
      <w:szCs w:val="24"/>
      <w:lang w:val="uk-UA" w:eastAsia="ja-JP"/>
    </w:rPr>
  </w:style>
  <w:style w:type="character" w:default="1" w:styleId="a0">
    <w:name w:val="Default Paragraph Font"/>
    <w:aliases w:val=" Знак Знак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D76D70"/>
    <w:rPr>
      <w:color w:val="0000FF"/>
      <w:u w:val="single"/>
    </w:rPr>
  </w:style>
  <w:style w:type="paragraph" w:customStyle="1" w:styleId="rvps7">
    <w:name w:val="rvps7"/>
    <w:basedOn w:val="a"/>
    <w:rsid w:val="00D76D70"/>
    <w:pPr>
      <w:spacing w:before="100" w:beforeAutospacing="1" w:after="100" w:afterAutospacing="1"/>
    </w:pPr>
    <w:rPr>
      <w:rFonts w:eastAsia="Times New Roman"/>
      <w:lang w:eastAsia="uk-UA"/>
    </w:rPr>
  </w:style>
  <w:style w:type="paragraph" w:customStyle="1" w:styleId="rvps14">
    <w:name w:val="rvps14"/>
    <w:basedOn w:val="a"/>
    <w:rsid w:val="00D76D70"/>
    <w:pPr>
      <w:spacing w:before="100" w:beforeAutospacing="1" w:after="100" w:afterAutospacing="1"/>
    </w:pPr>
    <w:rPr>
      <w:rFonts w:eastAsia="Times New Roman"/>
      <w:lang w:eastAsia="uk-UA"/>
    </w:rPr>
  </w:style>
  <w:style w:type="paragraph" w:customStyle="1" w:styleId="rvps12">
    <w:name w:val="rvps12"/>
    <w:basedOn w:val="a"/>
    <w:rsid w:val="00D76D70"/>
    <w:pPr>
      <w:spacing w:before="100" w:beforeAutospacing="1" w:after="100" w:afterAutospacing="1"/>
    </w:pPr>
    <w:rPr>
      <w:rFonts w:eastAsia="Times New Roman"/>
      <w:lang w:eastAsia="uk-UA"/>
    </w:rPr>
  </w:style>
  <w:style w:type="character" w:customStyle="1" w:styleId="rvts15">
    <w:name w:val="rvts15"/>
    <w:basedOn w:val="a0"/>
    <w:rsid w:val="00D76D70"/>
  </w:style>
  <w:style w:type="character" w:customStyle="1" w:styleId="rvts82">
    <w:name w:val="rvts82"/>
    <w:basedOn w:val="a0"/>
    <w:rsid w:val="00D76D70"/>
  </w:style>
  <w:style w:type="paragraph" w:styleId="HTML">
    <w:name w:val="HTML Preformatted"/>
    <w:basedOn w:val="a"/>
    <w:link w:val="HTML0"/>
    <w:rsid w:val="00D7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List Paragraph"/>
    <w:basedOn w:val="a"/>
    <w:qFormat/>
    <w:rsid w:val="00D76D70"/>
    <w:pPr>
      <w:spacing w:after="200" w:line="276" w:lineRule="auto"/>
      <w:ind w:left="720"/>
      <w:contextualSpacing/>
    </w:pPr>
    <w:rPr>
      <w:rFonts w:ascii="Calibri" w:eastAsia="Times New Roman" w:hAnsi="Calibri"/>
      <w:sz w:val="22"/>
      <w:szCs w:val="22"/>
      <w:lang w:eastAsia="en-US"/>
    </w:rPr>
  </w:style>
  <w:style w:type="paragraph" w:customStyle="1" w:styleId="a5">
    <w:name w:val="Нормальний текст"/>
    <w:basedOn w:val="a"/>
    <w:rsid w:val="00D76D70"/>
    <w:pPr>
      <w:spacing w:before="120"/>
      <w:ind w:firstLine="567"/>
    </w:pPr>
    <w:rPr>
      <w:rFonts w:ascii="Antiqua" w:eastAsia="Calibri" w:hAnsi="Antiqua"/>
      <w:sz w:val="26"/>
      <w:szCs w:val="20"/>
      <w:lang w:eastAsia="ru-RU"/>
    </w:rPr>
  </w:style>
  <w:style w:type="character" w:customStyle="1" w:styleId="HTML0">
    <w:name w:val="Стандартный HTML Знак"/>
    <w:link w:val="HTML"/>
    <w:rsid w:val="00D76D70"/>
    <w:rPr>
      <w:rFonts w:ascii="Courier New" w:eastAsia="MS Mincho" w:hAnsi="Courier New" w:cs="Courier New"/>
      <w:lang w:val="uk-UA" w:eastAsia="ja-JP" w:bidi="ar-SA"/>
    </w:rPr>
  </w:style>
  <w:style w:type="paragraph" w:styleId="a6">
    <w:name w:val="header"/>
    <w:basedOn w:val="a"/>
    <w:link w:val="a7"/>
    <w:unhideWhenUsed/>
    <w:rsid w:val="00D76D70"/>
    <w:pPr>
      <w:tabs>
        <w:tab w:val="center" w:pos="4153"/>
        <w:tab w:val="right" w:pos="8306"/>
      </w:tabs>
    </w:pPr>
    <w:rPr>
      <w:rFonts w:ascii="SchoolBook" w:eastAsia="Times New Roman" w:hAnsi="SchoolBook"/>
      <w:szCs w:val="20"/>
      <w:lang w:eastAsia="uk-UA"/>
    </w:rPr>
  </w:style>
  <w:style w:type="character" w:customStyle="1" w:styleId="a7">
    <w:name w:val="Верхний колонтитул Знак"/>
    <w:link w:val="a6"/>
    <w:rsid w:val="00D76D70"/>
    <w:rPr>
      <w:rFonts w:ascii="SchoolBook" w:hAnsi="SchoolBook"/>
      <w:sz w:val="24"/>
      <w:lang w:val="uk-UA" w:eastAsia="uk-UA" w:bidi="ar-SA"/>
    </w:rPr>
  </w:style>
  <w:style w:type="paragraph" w:styleId="a8">
    <w:name w:val="No Spacing"/>
    <w:qFormat/>
    <w:rsid w:val="00D76D70"/>
    <w:rPr>
      <w:rFonts w:ascii="Calibri" w:eastAsia="Calibri" w:hAnsi="Calibri"/>
      <w:sz w:val="22"/>
      <w:szCs w:val="22"/>
      <w:lang w:eastAsia="en-US"/>
    </w:rPr>
  </w:style>
  <w:style w:type="paragraph" w:customStyle="1" w:styleId="a9">
    <w:basedOn w:val="a"/>
    <w:rsid w:val="00142C55"/>
    <w:rPr>
      <w:rFonts w:ascii="Verdana" w:eastAsia="Times New Roman" w:hAnsi="Verdana" w:cs="Verdana"/>
      <w:sz w:val="20"/>
      <w:szCs w:val="20"/>
      <w:lang w:val="en-US" w:eastAsia="en-US"/>
    </w:rPr>
  </w:style>
  <w:style w:type="paragraph" w:styleId="aa">
    <w:name w:val="Normal (Web)"/>
    <w:basedOn w:val="a"/>
    <w:rsid w:val="00142C55"/>
    <w:pPr>
      <w:spacing w:before="100" w:beforeAutospacing="1" w:after="100" w:afterAutospacing="1"/>
    </w:pPr>
    <w:rPr>
      <w:rFonts w:eastAsia="Times New Roman"/>
      <w:lang w:val="ru-RU" w:eastAsia="ru-RU"/>
    </w:rPr>
  </w:style>
  <w:style w:type="paragraph" w:styleId="ab">
    <w:name w:val="Balloon Text"/>
    <w:basedOn w:val="a"/>
    <w:semiHidden/>
    <w:rsid w:val="000B0403"/>
    <w:rPr>
      <w:rFonts w:ascii="Tahoma" w:hAnsi="Tahoma" w:cs="Tahoma"/>
      <w:sz w:val="16"/>
      <w:szCs w:val="16"/>
    </w:rPr>
  </w:style>
  <w:style w:type="paragraph" w:customStyle="1" w:styleId="1">
    <w:name w:val=" Знак Знак1 Знак Знак"/>
    <w:basedOn w:val="a"/>
    <w:link w:val="a0"/>
    <w:rsid w:val="00686EDA"/>
    <w:rPr>
      <w:rFonts w:ascii="Verdana" w:eastAsia="Times New Roman" w:hAnsi="Verdana" w:cs="Verdana"/>
      <w:sz w:val="20"/>
      <w:szCs w:val="20"/>
      <w:lang w:val="en-US" w:eastAsia="en-US"/>
    </w:rPr>
  </w:style>
  <w:style w:type="paragraph" w:styleId="ac">
    <w:name w:val="footer"/>
    <w:basedOn w:val="a"/>
    <w:link w:val="ad"/>
    <w:rsid w:val="003473EF"/>
    <w:pPr>
      <w:tabs>
        <w:tab w:val="center" w:pos="4819"/>
        <w:tab w:val="right" w:pos="9639"/>
      </w:tabs>
    </w:pPr>
  </w:style>
  <w:style w:type="character" w:customStyle="1" w:styleId="ad">
    <w:name w:val="Нижний колонтитул Знак"/>
    <w:basedOn w:val="a0"/>
    <w:link w:val="ac"/>
    <w:rsid w:val="003473EF"/>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Управління містобудування та архітектури</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Наталія</dc:creator>
  <cp:lastModifiedBy>cab-219</cp:lastModifiedBy>
  <cp:revision>2</cp:revision>
  <cp:lastPrinted>2023-02-04T05:50:00Z</cp:lastPrinted>
  <dcterms:created xsi:type="dcterms:W3CDTF">2023-05-31T12:44:00Z</dcterms:created>
  <dcterms:modified xsi:type="dcterms:W3CDTF">2023-05-31T12:44:00Z</dcterms:modified>
</cp:coreProperties>
</file>